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B1C01" w:rsidRDefault="000E59F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="00F155A5">
        <w:rPr>
          <w:rFonts w:ascii="Times New Roman" w:hAnsi="Times New Roman" w:cs="Times New Roman"/>
          <w:sz w:val="24"/>
          <w:szCs w:val="24"/>
        </w:rPr>
        <w:t>–</w:t>
      </w:r>
      <w:r w:rsidRPr="002B1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55A5">
        <w:rPr>
          <w:rFonts w:ascii="Times New Roman" w:hAnsi="Times New Roman" w:cs="Times New Roman"/>
          <w:sz w:val="24"/>
          <w:szCs w:val="24"/>
        </w:rPr>
        <w:t xml:space="preserve">O </w:t>
      </w:r>
      <w:r w:rsidRPr="00F155A5">
        <w:rPr>
          <w:rFonts w:ascii="Times New Roman" w:hAnsi="Times New Roman" w:cs="Times New Roman"/>
          <w:b/>
          <w:sz w:val="24"/>
          <w:szCs w:val="24"/>
        </w:rPr>
        <w:t>CONSELHOS</w:t>
      </w:r>
      <w:proofErr w:type="gramEnd"/>
      <w:r w:rsidRPr="00F155A5">
        <w:rPr>
          <w:rFonts w:ascii="Times New Roman" w:hAnsi="Times New Roman" w:cs="Times New Roman"/>
          <w:b/>
          <w:sz w:val="24"/>
          <w:szCs w:val="24"/>
        </w:rPr>
        <w:t xml:space="preserve"> ESCOLAR</w:t>
      </w:r>
      <w:r w:rsidR="005B717F" w:rsidRPr="00F155A5">
        <w:rPr>
          <w:rFonts w:ascii="Times New Roman" w:hAnsi="Times New Roman" w:cs="Times New Roman"/>
          <w:b/>
          <w:sz w:val="24"/>
          <w:szCs w:val="24"/>
        </w:rPr>
        <w:t xml:space="preserve"> ELIAS PEREIRA DE SOUZA</w:t>
      </w:r>
      <w:r w:rsidR="008918E4" w:rsidRPr="002B1C0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B1C01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5B717F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00.660.446/0001-42</w:t>
      </w:r>
      <w:r w:rsidR="00D85309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B1C01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889" w:rsidRPr="00F155A5">
        <w:rPr>
          <w:rFonts w:ascii="Times New Roman" w:hAnsi="Times New Roman" w:cs="Times New Roman"/>
          <w:b/>
          <w:bCs/>
          <w:caps/>
          <w:sz w:val="24"/>
          <w:szCs w:val="24"/>
        </w:rPr>
        <w:t>Escola</w:t>
      </w:r>
      <w:r w:rsidR="00F71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ESTADUAL</w:t>
      </w:r>
      <w:r w:rsidR="00581889" w:rsidRPr="00F155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Elias Pereira de Souza</w:t>
      </w:r>
      <w:r w:rsidR="006058B2" w:rsidRPr="00F155A5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 w:rsidR="00D85309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B1C0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2B1C0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968D8">
        <w:rPr>
          <w:rFonts w:ascii="Times New Roman" w:hAnsi="Times New Roman" w:cs="Times New Roman"/>
          <w:b/>
          <w:bCs/>
          <w:sz w:val="24"/>
          <w:szCs w:val="24"/>
        </w:rPr>
        <w:t xml:space="preserve"> DE POSSE,</w:t>
      </w:r>
      <w:r w:rsidR="00255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1DD" w:rsidRPr="002B1C01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B1C01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2B1C01">
        <w:rPr>
          <w:rFonts w:ascii="Times New Roman" w:hAnsi="Times New Roman" w:cs="Times New Roman"/>
          <w:sz w:val="24"/>
          <w:szCs w:val="24"/>
        </w:rPr>
        <w:t xml:space="preserve"> </w:t>
      </w:r>
      <w:r w:rsidR="008622D1">
        <w:rPr>
          <w:rFonts w:ascii="Times New Roman" w:hAnsi="Times New Roman" w:cs="Times New Roman"/>
          <w:b/>
          <w:sz w:val="24"/>
          <w:szCs w:val="24"/>
        </w:rPr>
        <w:t>GUARANI DE GOIÁS</w:t>
      </w:r>
      <w:r w:rsidR="00C45EF4" w:rsidRPr="002B1C01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2B1C01">
        <w:rPr>
          <w:rFonts w:ascii="Times New Roman" w:hAnsi="Times New Roman" w:cs="Times New Roman"/>
          <w:sz w:val="24"/>
          <w:szCs w:val="24"/>
        </w:rPr>
        <w:t>o</w:t>
      </w:r>
      <w:r w:rsidR="00C45EF4" w:rsidRPr="002B1C01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2B1C01" w:rsidRPr="002B1C01">
        <w:rPr>
          <w:rFonts w:ascii="Times New Roman" w:hAnsi="Times New Roman" w:cs="Times New Roman"/>
          <w:sz w:val="24"/>
          <w:szCs w:val="24"/>
        </w:rPr>
        <w:t xml:space="preserve">Conselho, </w:t>
      </w:r>
      <w:r w:rsidR="00AE422C" w:rsidRPr="00AE422C">
        <w:rPr>
          <w:rFonts w:ascii="Times New Roman" w:hAnsi="Times New Roman" w:cs="Times New Roman"/>
          <w:b/>
          <w:sz w:val="24"/>
          <w:szCs w:val="24"/>
        </w:rPr>
        <w:t>MARIA PEREIRA DE SOUZA, INSCRITO</w:t>
      </w:r>
      <w:r w:rsidR="00AE422C" w:rsidRPr="002B1C01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B1C01">
        <w:rPr>
          <w:rFonts w:ascii="Times New Roman" w:hAnsi="Times New Roman" w:cs="Times New Roman"/>
          <w:sz w:val="24"/>
          <w:szCs w:val="24"/>
        </w:rPr>
        <w:t>(a) no CPF</w:t>
      </w:r>
      <w:r w:rsidR="00362A83" w:rsidRPr="002B1C01">
        <w:rPr>
          <w:rFonts w:ascii="Times New Roman" w:hAnsi="Times New Roman" w:cs="Times New Roman"/>
          <w:sz w:val="24"/>
          <w:szCs w:val="24"/>
        </w:rPr>
        <w:t xml:space="preserve"> nº</w:t>
      </w:r>
      <w:r w:rsidR="00F155A5">
        <w:rPr>
          <w:rFonts w:ascii="Times New Roman" w:hAnsi="Times New Roman" w:cs="Times New Roman"/>
          <w:sz w:val="24"/>
          <w:szCs w:val="24"/>
        </w:rPr>
        <w:t xml:space="preserve"> </w:t>
      </w:r>
      <w:r w:rsidR="00CA5107" w:rsidRPr="002B1C01">
        <w:rPr>
          <w:rFonts w:ascii="Times New Roman" w:hAnsi="Times New Roman" w:cs="Times New Roman"/>
          <w:b/>
          <w:sz w:val="24"/>
          <w:szCs w:val="24"/>
        </w:rPr>
        <w:t>435.737.381-68</w:t>
      </w:r>
      <w:r w:rsidR="00F155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CA5107" w:rsidRPr="002B1C01">
        <w:rPr>
          <w:rFonts w:ascii="Times New Roman" w:hAnsi="Times New Roman" w:cs="Times New Roman"/>
          <w:b/>
          <w:sz w:val="24"/>
          <w:szCs w:val="24"/>
        </w:rPr>
        <w:t>2418341</w:t>
      </w:r>
      <w:r w:rsidR="00C45EF4" w:rsidRPr="002B1C01">
        <w:rPr>
          <w:rFonts w:ascii="Times New Roman" w:hAnsi="Times New Roman" w:cs="Times New Roman"/>
          <w:sz w:val="24"/>
          <w:szCs w:val="24"/>
        </w:rPr>
        <w:t>,</w:t>
      </w:r>
      <w:r w:rsidR="008918E4" w:rsidRPr="002B1C01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B1C01">
        <w:rPr>
          <w:rFonts w:ascii="Times New Roman" w:hAnsi="Times New Roman" w:cs="Times New Roman"/>
          <w:sz w:val="24"/>
          <w:szCs w:val="24"/>
        </w:rPr>
        <w:t>.</w:t>
      </w:r>
      <w:r w:rsidR="008918E4" w:rsidRPr="002B1C01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2B1C01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2B1C01">
        <w:rPr>
          <w:rFonts w:ascii="Times New Roman" w:hAnsi="Times New Roman" w:cs="Times New Roman"/>
          <w:b/>
          <w:sz w:val="24"/>
          <w:szCs w:val="24"/>
        </w:rPr>
        <w:t>01</w:t>
      </w:r>
      <w:r w:rsidR="008918E4" w:rsidRPr="002B1C01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2B1C01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B1C01">
        <w:rPr>
          <w:rFonts w:ascii="Times New Roman" w:hAnsi="Times New Roman" w:cs="Times New Roman"/>
          <w:sz w:val="24"/>
          <w:szCs w:val="24"/>
        </w:rPr>
        <w:t>agosto</w:t>
      </w:r>
      <w:r w:rsidR="008918E4" w:rsidRPr="002B1C01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2B1C01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2B1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2B1C01">
        <w:rPr>
          <w:rFonts w:ascii="Times New Roman" w:hAnsi="Times New Roman" w:cs="Times New Roman"/>
          <w:sz w:val="24"/>
          <w:szCs w:val="24"/>
        </w:rPr>
        <w:t>de</w:t>
      </w:r>
      <w:r w:rsidR="00D85309" w:rsidRPr="002B1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B1C01">
        <w:rPr>
          <w:rFonts w:ascii="Times New Roman" w:hAnsi="Times New Roman" w:cs="Times New Roman"/>
          <w:sz w:val="24"/>
          <w:szCs w:val="24"/>
        </w:rPr>
        <w:t>dezembro</w:t>
      </w:r>
      <w:r w:rsidR="008918E4" w:rsidRPr="002B1C01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B1C01">
        <w:rPr>
          <w:rFonts w:ascii="Times New Roman" w:hAnsi="Times New Roman" w:cs="Times New Roman"/>
          <w:sz w:val="24"/>
          <w:szCs w:val="24"/>
        </w:rPr>
        <w:t>6</w:t>
      </w:r>
      <w:r w:rsidR="008918E4" w:rsidRPr="002B1C01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="008918E4" w:rsidRPr="002B1C01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="008918E4" w:rsidRPr="002B1C01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810C27" w:rsidRPr="002B1C0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55B75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810C27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55B7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AE422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918E4" w:rsidRPr="002B1C01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2B1C0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889" w:rsidRPr="00F155A5">
        <w:rPr>
          <w:rFonts w:ascii="Times New Roman" w:hAnsi="Times New Roman" w:cs="Times New Roman"/>
          <w:b/>
          <w:bCs/>
          <w:caps/>
          <w:sz w:val="24"/>
          <w:szCs w:val="24"/>
        </w:rPr>
        <w:t>Fazenda São Pedro</w:t>
      </w:r>
      <w:r w:rsidR="00AE422C">
        <w:rPr>
          <w:rFonts w:ascii="Times New Roman" w:hAnsi="Times New Roman" w:cs="Times New Roman"/>
          <w:b/>
          <w:bCs/>
          <w:caps/>
          <w:sz w:val="24"/>
          <w:szCs w:val="24"/>
        </w:rPr>
        <w:t>- GUARANI DE GOIÁS/GO.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437" w:rsidRPr="002142BC" w:rsidRDefault="00DB643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2B1C01" w:rsidRDefault="002B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012DBA" w:rsidRPr="002142BC" w:rsidRDefault="00012D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5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835"/>
        <w:gridCol w:w="1416"/>
        <w:gridCol w:w="1702"/>
        <w:gridCol w:w="1418"/>
        <w:gridCol w:w="2125"/>
      </w:tblGrid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Dúzia, Maço, Kg ou </w:t>
            </w:r>
            <w:proofErr w:type="gramStart"/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B1C01" w:rsidRPr="00255B75" w:rsidRDefault="002B1C01" w:rsidP="002B1C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5B7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817226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 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2142BC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2142BC" w:rsidRDefault="002B1C01" w:rsidP="008562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4,70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2142BC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282,00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817226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ABOBORA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 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2B1C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1C01" w:rsidRPr="007203C2" w:rsidRDefault="002B1C01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351,05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131FD9" w:rsidP="00131F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131FD9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1.980,00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1.115,00</w:t>
            </w:r>
          </w:p>
        </w:tc>
      </w:tr>
      <w:tr w:rsidR="0085625B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25B" w:rsidRPr="00817226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25B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25B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25B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25B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25B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206,40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8562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5625B"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328,80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FEIJÃO CARIOCA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3.330,00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8562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625B"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8562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625B"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B1C01" w:rsidRPr="007203C2" w:rsidTr="00131FD9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817226" w:rsidRDefault="002B1C01" w:rsidP="008562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625B" w:rsidRPr="008172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85625B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2B1C01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3C2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A768FC" w:rsidP="002B1C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A768FC" w:rsidP="0085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1C01" w:rsidRPr="007203C2" w:rsidRDefault="00A768FC" w:rsidP="002B1C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1.066,00</w:t>
            </w:r>
          </w:p>
        </w:tc>
      </w:tr>
    </w:tbl>
    <w:p w:rsidR="00362A83" w:rsidRDefault="00131FD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B6437" w:rsidRDefault="00DB643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6437" w:rsidRPr="002142BC" w:rsidRDefault="00DB643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DB6437" w:rsidRPr="002142BC" w:rsidRDefault="00DB64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B6437" w:rsidRPr="002142BC" w:rsidRDefault="00DB643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DB6437" w:rsidRDefault="00DB643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04040" w:rsidRPr="00255B75" w:rsidRDefault="00C45EF4" w:rsidP="00255B7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>Os envelopes, não transparentes, deverão estar lacrados e identific</w:t>
      </w:r>
      <w:r w:rsidR="00F01A2D">
        <w:rPr>
          <w:rFonts w:ascii="Times New Roman" w:hAnsi="Times New Roman" w:cs="Times New Roman"/>
          <w:color w:val="auto"/>
        </w:rPr>
        <w:t>ados, com a seguinte inscrição: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01A2D" w:rsidRPr="002142BC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F01A2D" w:rsidRPr="002142BC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01A2D" w:rsidRPr="00796030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01A2D" w:rsidRPr="00255B75" w:rsidRDefault="00F01A2D" w:rsidP="00255B7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01A2D" w:rsidRDefault="00F01A2D" w:rsidP="00255B7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255B75" w:rsidRDefault="00255B75" w:rsidP="00255B7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255B75" w:rsidRDefault="00255B75" w:rsidP="00255B7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255B75" w:rsidRDefault="00255B75" w:rsidP="00255B7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255B75" w:rsidRDefault="00255B75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01A2D" w:rsidRPr="002142BC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F01A2D" w:rsidRPr="002142BC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F01A2D" w:rsidRPr="00796030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01A2D" w:rsidRPr="002142BC" w:rsidRDefault="00F01A2D" w:rsidP="00F01A2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B6437" w:rsidRPr="002142BC" w:rsidRDefault="00DB643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562CC9" w:rsidRPr="00562CC9">
        <w:rPr>
          <w:rFonts w:ascii="Times New Roman" w:hAnsi="Times New Roman" w:cs="Times New Roman"/>
          <w:b/>
          <w:sz w:val="24"/>
          <w:szCs w:val="24"/>
        </w:rPr>
        <w:t>ESCOLA ESTADUAL</w:t>
      </w:r>
      <w:r w:rsidR="00C04040" w:rsidRPr="002B1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040" w:rsidRPr="002561B9">
        <w:rPr>
          <w:rFonts w:ascii="Times New Roman" w:hAnsi="Times New Roman" w:cs="Times New Roman"/>
          <w:b/>
          <w:bCs/>
          <w:caps/>
          <w:sz w:val="24"/>
          <w:szCs w:val="24"/>
        </w:rPr>
        <w:t>Elias Pereira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255B75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406" w:rsidRPr="002561B9">
        <w:rPr>
          <w:rFonts w:ascii="Times New Roman" w:hAnsi="Times New Roman" w:cs="Times New Roman"/>
          <w:b/>
          <w:bCs/>
          <w:caps/>
          <w:sz w:val="24"/>
          <w:szCs w:val="24"/>
        </w:rPr>
        <w:t>Fazenda São Pedro</w:t>
      </w:r>
      <w:r w:rsidR="00255B75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 w:rsidR="00790406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790406" w:rsidRPr="002561B9">
        <w:rPr>
          <w:rFonts w:ascii="Times New Roman" w:hAnsi="Times New Roman" w:cs="Times New Roman"/>
          <w:b/>
          <w:caps/>
          <w:sz w:val="24"/>
          <w:szCs w:val="24"/>
        </w:rPr>
        <w:t>Guarani de Goiás</w:t>
      </w:r>
      <w:r w:rsidR="00255B75">
        <w:rPr>
          <w:rFonts w:ascii="Times New Roman" w:hAnsi="Times New Roman" w:cs="Times New Roman"/>
          <w:b/>
          <w:caps/>
          <w:sz w:val="24"/>
          <w:szCs w:val="24"/>
        </w:rPr>
        <w:t>-GO,</w:t>
      </w:r>
      <w:r w:rsidR="00790406" w:rsidRPr="00790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255B75">
        <w:rPr>
          <w:rFonts w:ascii="Times New Roman" w:hAnsi="Times New Roman" w:cs="Times New Roman"/>
          <w:sz w:val="24"/>
          <w:szCs w:val="24"/>
        </w:rPr>
        <w:t xml:space="preserve"> </w:t>
      </w:r>
      <w:r w:rsidR="00255B75">
        <w:rPr>
          <w:rFonts w:ascii="Times New Roman" w:hAnsi="Times New Roman" w:cs="Times New Roman"/>
          <w:b/>
          <w:sz w:val="24"/>
          <w:szCs w:val="24"/>
        </w:rPr>
        <w:t>16</w:t>
      </w:r>
      <w:r w:rsidR="00255B75">
        <w:rPr>
          <w:rFonts w:ascii="Times New Roman" w:hAnsi="Times New Roman" w:cs="Times New Roman"/>
          <w:sz w:val="24"/>
          <w:szCs w:val="24"/>
        </w:rPr>
        <w:t xml:space="preserve"> de </w:t>
      </w:r>
      <w:r w:rsidR="00255B75">
        <w:rPr>
          <w:rFonts w:ascii="Times New Roman" w:hAnsi="Times New Roman" w:cs="Times New Roman"/>
          <w:b/>
          <w:sz w:val="24"/>
          <w:szCs w:val="24"/>
        </w:rPr>
        <w:t>AGOSTO</w:t>
      </w:r>
      <w:r w:rsidR="00255B7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255B75">
        <w:rPr>
          <w:rFonts w:ascii="Times New Roman" w:hAnsi="Times New Roman" w:cs="Times New Roman"/>
          <w:b/>
          <w:sz w:val="24"/>
          <w:szCs w:val="24"/>
        </w:rPr>
        <w:t>19</w:t>
      </w:r>
      <w:r w:rsidR="00255B75">
        <w:rPr>
          <w:rFonts w:ascii="Times New Roman" w:hAnsi="Times New Roman" w:cs="Times New Roman"/>
          <w:sz w:val="24"/>
          <w:szCs w:val="24"/>
        </w:rPr>
        <w:t xml:space="preserve"> de </w:t>
      </w:r>
      <w:r w:rsidR="00255B75">
        <w:rPr>
          <w:rFonts w:ascii="Times New Roman" w:hAnsi="Times New Roman" w:cs="Times New Roman"/>
          <w:b/>
          <w:sz w:val="24"/>
          <w:szCs w:val="24"/>
        </w:rPr>
        <w:t>AGOSTO</w:t>
      </w:r>
      <w:r w:rsidR="002561B9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DA4D86" w:rsidRPr="00DA4D86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="002561B9">
        <w:rPr>
          <w:rFonts w:ascii="Times New Roman" w:hAnsi="Times New Roman" w:cs="Times New Roman"/>
          <w:sz w:val="24"/>
          <w:szCs w:val="24"/>
        </w:rPr>
        <w:t xml:space="preserve"> </w:t>
      </w:r>
      <w:r w:rsidR="002561B9" w:rsidRPr="00DA4D86">
        <w:rPr>
          <w:rFonts w:ascii="Times New Roman" w:hAnsi="Times New Roman" w:cs="Times New Roman"/>
          <w:b/>
          <w:sz w:val="24"/>
          <w:szCs w:val="24"/>
        </w:rPr>
        <w:t>16</w:t>
      </w:r>
      <w:r w:rsidR="00DA4D86" w:rsidRPr="00DA4D86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C04040" w:rsidRPr="002561B9">
        <w:rPr>
          <w:rFonts w:ascii="Times New Roman" w:hAnsi="Times New Roman" w:cs="Times New Roman"/>
          <w:b/>
          <w:bCs/>
          <w:caps/>
          <w:sz w:val="24"/>
          <w:szCs w:val="24"/>
        </w:rPr>
        <w:t>Elias Pereira de Souza</w:t>
      </w:r>
      <w:r w:rsidR="00790406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790406" w:rsidRPr="002561B9">
        <w:rPr>
          <w:rFonts w:ascii="Times New Roman" w:hAnsi="Times New Roman" w:cs="Times New Roman"/>
          <w:b/>
          <w:bCs/>
          <w:caps/>
          <w:sz w:val="24"/>
          <w:szCs w:val="24"/>
        </w:rPr>
        <w:t>Fazenda São Pedro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90406" w:rsidRPr="002561B9">
        <w:rPr>
          <w:rFonts w:ascii="Times New Roman" w:hAnsi="Times New Roman" w:cs="Times New Roman"/>
          <w:b/>
          <w:caps/>
          <w:sz w:val="24"/>
          <w:szCs w:val="24"/>
        </w:rPr>
        <w:t>Guarani de</w:t>
      </w:r>
      <w:r w:rsidR="00790406" w:rsidRPr="00790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406" w:rsidRPr="002561B9">
        <w:rPr>
          <w:rFonts w:ascii="Times New Roman" w:hAnsi="Times New Roman" w:cs="Times New Roman"/>
          <w:b/>
          <w:caps/>
          <w:sz w:val="24"/>
          <w:szCs w:val="24"/>
        </w:rPr>
        <w:t>Goiás</w:t>
      </w:r>
      <w:r w:rsidR="00255B75">
        <w:rPr>
          <w:rFonts w:ascii="Times New Roman" w:hAnsi="Times New Roman" w:cs="Times New Roman"/>
          <w:b/>
          <w:caps/>
          <w:sz w:val="24"/>
          <w:szCs w:val="24"/>
        </w:rPr>
        <w:t>-GO</w:t>
      </w:r>
      <w:r w:rsidR="007904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</w:rPr>
        <w:t>de acordo com o cronograma expedido pela Escola, na qual se atestará o seu recebimento.</w:t>
      </w:r>
    </w:p>
    <w:p w:rsidR="00E97327" w:rsidRDefault="00E9732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790406">
      <w:pPr>
        <w:tabs>
          <w:tab w:val="left" w:pos="5865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  <w:r w:rsidR="007904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DB6437" w:rsidRPr="002142BC" w:rsidRDefault="00DB64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B75" w:rsidRDefault="00255B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B75" w:rsidRDefault="00255B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CB2" w:rsidRDefault="006E3E9C" w:rsidP="00255B7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E9C">
        <w:rPr>
          <w:rFonts w:ascii="Times New Roman" w:hAnsi="Times New Roman" w:cs="Times New Roman"/>
          <w:b/>
          <w:sz w:val="24"/>
          <w:szCs w:val="24"/>
        </w:rPr>
        <w:t>GUARANI DE GOIÁ</w:t>
      </w:r>
      <w:r>
        <w:rPr>
          <w:rFonts w:ascii="Times New Roman" w:hAnsi="Times New Roman" w:cs="Times New Roman"/>
          <w:b/>
          <w:sz w:val="24"/>
          <w:szCs w:val="24"/>
        </w:rPr>
        <w:t>S/GO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255B75" w:rsidRPr="00255B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255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255B75" w:rsidRPr="00255B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255B75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3E9C" w:rsidRPr="002142BC" w:rsidRDefault="006E3E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59FC" w:rsidRPr="002561B9" w:rsidRDefault="000E59FC" w:rsidP="00DB6437">
      <w:pPr>
        <w:spacing w:after="150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  <w:r w:rsidRPr="002561B9">
        <w:rPr>
          <w:rFonts w:ascii="Times New Roman" w:hAnsi="Times New Roman" w:cs="Times New Roman"/>
          <w:b/>
          <w:caps/>
          <w:sz w:val="24"/>
          <w:szCs w:val="24"/>
        </w:rPr>
        <w:t>Maria Pereira de Souza</w:t>
      </w:r>
      <w:r w:rsidRPr="002561B9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0202FF" w:rsidRPr="002142BC" w:rsidRDefault="000202FF" w:rsidP="00DB643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0202FF" w:rsidRPr="002561B9" w:rsidRDefault="006E3E9C" w:rsidP="00DB6437">
      <w:pPr>
        <w:spacing w:after="15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ESCOLA ESTADUAL </w:t>
      </w:r>
      <w:r w:rsidR="000E59FC" w:rsidRPr="002561B9">
        <w:rPr>
          <w:rFonts w:ascii="Times New Roman" w:hAnsi="Times New Roman" w:cs="Times New Roman"/>
          <w:b/>
          <w:sz w:val="24"/>
          <w:szCs w:val="24"/>
        </w:rPr>
        <w:t xml:space="preserve"> ELIAS PEREIRA DE SOUZA</w:t>
      </w:r>
    </w:p>
    <w:p w:rsidR="000202FF" w:rsidRPr="002142BC" w:rsidRDefault="000202FF" w:rsidP="00DB643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C9" w:rsidRDefault="00562CC9" w:rsidP="004C0DC1">
      <w:pPr>
        <w:spacing w:after="0" w:line="240" w:lineRule="auto"/>
      </w:pPr>
      <w:r>
        <w:separator/>
      </w:r>
    </w:p>
  </w:endnote>
  <w:endnote w:type="continuationSeparator" w:id="0">
    <w:p w:rsidR="00562CC9" w:rsidRDefault="00562CC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C9" w:rsidRPr="00283531" w:rsidRDefault="00562CC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62CC9" w:rsidRPr="00283531" w:rsidRDefault="00562CC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62CC9" w:rsidRPr="003D5724" w:rsidRDefault="00562CC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62CC9" w:rsidRPr="00283531" w:rsidRDefault="00562CC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62CC9" w:rsidRDefault="00562CC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62CC9" w:rsidRPr="00581345" w:rsidRDefault="00562CC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C9" w:rsidRDefault="00562CC9" w:rsidP="004C0DC1">
      <w:pPr>
        <w:spacing w:after="0" w:line="240" w:lineRule="auto"/>
      </w:pPr>
      <w:r>
        <w:separator/>
      </w:r>
    </w:p>
  </w:footnote>
  <w:footnote w:type="continuationSeparator" w:id="0">
    <w:p w:rsidR="00562CC9" w:rsidRDefault="00562CC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C9" w:rsidRDefault="00562CC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B4D"/>
    <w:rsid w:val="000A0F5A"/>
    <w:rsid w:val="000A3293"/>
    <w:rsid w:val="000C6CB2"/>
    <w:rsid w:val="000D00E9"/>
    <w:rsid w:val="000D0376"/>
    <w:rsid w:val="000D14C3"/>
    <w:rsid w:val="000E1FF9"/>
    <w:rsid w:val="000E52B3"/>
    <w:rsid w:val="000E59FC"/>
    <w:rsid w:val="000F2EF1"/>
    <w:rsid w:val="00102E85"/>
    <w:rsid w:val="0010413B"/>
    <w:rsid w:val="001133D8"/>
    <w:rsid w:val="0012070C"/>
    <w:rsid w:val="00122755"/>
    <w:rsid w:val="00131FD9"/>
    <w:rsid w:val="001330E1"/>
    <w:rsid w:val="001535C6"/>
    <w:rsid w:val="00157121"/>
    <w:rsid w:val="0017334E"/>
    <w:rsid w:val="001752DC"/>
    <w:rsid w:val="0017740D"/>
    <w:rsid w:val="00196CD8"/>
    <w:rsid w:val="00197177"/>
    <w:rsid w:val="001A42EB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5B75"/>
    <w:rsid w:val="002561B9"/>
    <w:rsid w:val="00267746"/>
    <w:rsid w:val="002968D8"/>
    <w:rsid w:val="00297C3D"/>
    <w:rsid w:val="002A04D8"/>
    <w:rsid w:val="002A1CA9"/>
    <w:rsid w:val="002A739F"/>
    <w:rsid w:val="002B153C"/>
    <w:rsid w:val="002B1996"/>
    <w:rsid w:val="002B1C01"/>
    <w:rsid w:val="002B609F"/>
    <w:rsid w:val="002C2161"/>
    <w:rsid w:val="002C25D7"/>
    <w:rsid w:val="002C2B84"/>
    <w:rsid w:val="002D64FB"/>
    <w:rsid w:val="002E7D65"/>
    <w:rsid w:val="00313ABE"/>
    <w:rsid w:val="00330E9F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2113F"/>
    <w:rsid w:val="00424531"/>
    <w:rsid w:val="004335BC"/>
    <w:rsid w:val="00433FEC"/>
    <w:rsid w:val="004360DE"/>
    <w:rsid w:val="0044290E"/>
    <w:rsid w:val="0044313E"/>
    <w:rsid w:val="00447570"/>
    <w:rsid w:val="00450B5E"/>
    <w:rsid w:val="00452B21"/>
    <w:rsid w:val="004916AC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54E8"/>
    <w:rsid w:val="00562CC9"/>
    <w:rsid w:val="00570847"/>
    <w:rsid w:val="00576F33"/>
    <w:rsid w:val="00581889"/>
    <w:rsid w:val="00590945"/>
    <w:rsid w:val="00591CF3"/>
    <w:rsid w:val="00592E6D"/>
    <w:rsid w:val="005A1A2D"/>
    <w:rsid w:val="005B717F"/>
    <w:rsid w:val="005C306F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E3E9C"/>
    <w:rsid w:val="006F3358"/>
    <w:rsid w:val="006F6CA8"/>
    <w:rsid w:val="006F709F"/>
    <w:rsid w:val="007000A5"/>
    <w:rsid w:val="00703D90"/>
    <w:rsid w:val="00725662"/>
    <w:rsid w:val="00731DCF"/>
    <w:rsid w:val="00736023"/>
    <w:rsid w:val="0075637D"/>
    <w:rsid w:val="00756584"/>
    <w:rsid w:val="007807F2"/>
    <w:rsid w:val="00782248"/>
    <w:rsid w:val="00790406"/>
    <w:rsid w:val="00794B37"/>
    <w:rsid w:val="00796030"/>
    <w:rsid w:val="007A1C1E"/>
    <w:rsid w:val="007A2410"/>
    <w:rsid w:val="007A7BF5"/>
    <w:rsid w:val="007B2900"/>
    <w:rsid w:val="007C51DD"/>
    <w:rsid w:val="007C6462"/>
    <w:rsid w:val="007C7EB5"/>
    <w:rsid w:val="007D264D"/>
    <w:rsid w:val="007E398B"/>
    <w:rsid w:val="007F3DBF"/>
    <w:rsid w:val="00810C27"/>
    <w:rsid w:val="00811698"/>
    <w:rsid w:val="00813D1C"/>
    <w:rsid w:val="00817226"/>
    <w:rsid w:val="00817B56"/>
    <w:rsid w:val="00840A8B"/>
    <w:rsid w:val="0085625B"/>
    <w:rsid w:val="008604A6"/>
    <w:rsid w:val="00861279"/>
    <w:rsid w:val="008615D7"/>
    <w:rsid w:val="008622D1"/>
    <w:rsid w:val="00866C56"/>
    <w:rsid w:val="008823B9"/>
    <w:rsid w:val="0088266E"/>
    <w:rsid w:val="00884D87"/>
    <w:rsid w:val="008856FB"/>
    <w:rsid w:val="008918E4"/>
    <w:rsid w:val="00891989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4B7A"/>
    <w:rsid w:val="00991AB7"/>
    <w:rsid w:val="009A160B"/>
    <w:rsid w:val="009D79C9"/>
    <w:rsid w:val="009E4C65"/>
    <w:rsid w:val="009F194B"/>
    <w:rsid w:val="009F19A4"/>
    <w:rsid w:val="00A01614"/>
    <w:rsid w:val="00A02CDA"/>
    <w:rsid w:val="00A040B0"/>
    <w:rsid w:val="00A0649E"/>
    <w:rsid w:val="00A067B0"/>
    <w:rsid w:val="00A128A7"/>
    <w:rsid w:val="00A260CB"/>
    <w:rsid w:val="00A338FF"/>
    <w:rsid w:val="00A35698"/>
    <w:rsid w:val="00A43820"/>
    <w:rsid w:val="00A610ED"/>
    <w:rsid w:val="00A74295"/>
    <w:rsid w:val="00A768FC"/>
    <w:rsid w:val="00A8230C"/>
    <w:rsid w:val="00A95488"/>
    <w:rsid w:val="00AA470E"/>
    <w:rsid w:val="00AA55C2"/>
    <w:rsid w:val="00AB4B16"/>
    <w:rsid w:val="00AB5996"/>
    <w:rsid w:val="00AD0A8B"/>
    <w:rsid w:val="00AD29C9"/>
    <w:rsid w:val="00AE422C"/>
    <w:rsid w:val="00AF16F4"/>
    <w:rsid w:val="00B024B9"/>
    <w:rsid w:val="00B05536"/>
    <w:rsid w:val="00B05988"/>
    <w:rsid w:val="00B05E55"/>
    <w:rsid w:val="00B30B0D"/>
    <w:rsid w:val="00B30B26"/>
    <w:rsid w:val="00B54E8A"/>
    <w:rsid w:val="00B661B6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4040"/>
    <w:rsid w:val="00C07CD1"/>
    <w:rsid w:val="00C10707"/>
    <w:rsid w:val="00C151DA"/>
    <w:rsid w:val="00C36050"/>
    <w:rsid w:val="00C42A61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0F29"/>
    <w:rsid w:val="00C9574A"/>
    <w:rsid w:val="00CA5107"/>
    <w:rsid w:val="00CA64A0"/>
    <w:rsid w:val="00CB416A"/>
    <w:rsid w:val="00CC203B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A4D86"/>
    <w:rsid w:val="00DB6437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7327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01A2D"/>
    <w:rsid w:val="00F03A82"/>
    <w:rsid w:val="00F052EB"/>
    <w:rsid w:val="00F155A5"/>
    <w:rsid w:val="00F22C2D"/>
    <w:rsid w:val="00F34C7D"/>
    <w:rsid w:val="00F43CD4"/>
    <w:rsid w:val="00F52F58"/>
    <w:rsid w:val="00F6648A"/>
    <w:rsid w:val="00F678C6"/>
    <w:rsid w:val="00F71197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38ECF-0AB6-4AF3-83F6-AACF14E0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2739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caio.gaioso</cp:lastModifiedBy>
  <cp:revision>20</cp:revision>
  <cp:lastPrinted>2016-05-12T13:00:00Z</cp:lastPrinted>
  <dcterms:created xsi:type="dcterms:W3CDTF">2016-05-25T19:40:00Z</dcterms:created>
  <dcterms:modified xsi:type="dcterms:W3CDTF">2016-07-19T17:35:00Z</dcterms:modified>
</cp:coreProperties>
</file>